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F03B19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B5E31">
        <w:rPr>
          <w:bCs/>
          <w:noProof w:val="0"/>
          <w:sz w:val="24"/>
          <w:szCs w:val="24"/>
        </w:rPr>
        <w:t>07276</w:t>
      </w:r>
    </w:p>
    <w:p w14:paraId="11776FA6" w14:textId="66391A97"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w:t>
      </w:r>
      <w:r w:rsidR="00AB5E31" w:rsidRPr="00AB5E31">
        <w:rPr>
          <w:rFonts w:eastAsia="SimSun"/>
          <w:bCs/>
          <w:sz w:val="24"/>
          <w:szCs w:val="24"/>
          <w:vertAlign w:val="superscript"/>
          <w:lang w:eastAsia="zh-CN"/>
        </w:rPr>
        <w:t>th</w:t>
      </w:r>
      <w:r w:rsidRPr="00094568">
        <w:rPr>
          <w:rFonts w:eastAsia="SimSun"/>
          <w:bCs/>
          <w:sz w:val="24"/>
          <w:szCs w:val="24"/>
          <w:lang w:eastAsia="zh-CN"/>
        </w:rPr>
        <w:t xml:space="preserve"> – 17</w:t>
      </w:r>
      <w:r w:rsidR="00AB5E31" w:rsidRPr="00AB5E31">
        <w:rPr>
          <w:rFonts w:eastAsia="SimSun"/>
          <w:bCs/>
          <w:sz w:val="24"/>
          <w:szCs w:val="24"/>
          <w:vertAlign w:val="superscript"/>
          <w:lang w:eastAsia="zh-CN"/>
        </w:rPr>
        <w:t>th</w:t>
      </w:r>
      <w:r w:rsidR="00AB5E31">
        <w:rPr>
          <w:rFonts w:eastAsia="SimSun"/>
          <w:bCs/>
          <w:sz w:val="24"/>
          <w:szCs w:val="24"/>
          <w:lang w:eastAsia="zh-CN"/>
        </w:rPr>
        <w:t xml:space="preserve"> of</w:t>
      </w:r>
      <w:bookmarkStart w:id="0" w:name="_GoBack"/>
      <w:bookmarkEnd w:id="0"/>
      <w:r w:rsidRPr="00094568">
        <w:rPr>
          <w:rFonts w:eastAsia="SimSun"/>
          <w:bCs/>
          <w:sz w:val="24"/>
          <w:szCs w:val="24"/>
          <w:lang w:eastAsia="zh-CN"/>
        </w:rPr>
        <w:t xml:space="preserve">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28A5E4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7114">
        <w:rPr>
          <w:rFonts w:cs="Arial"/>
          <w:b/>
          <w:bCs/>
          <w:sz w:val="24"/>
          <w:lang w:eastAsia="ja-JP"/>
        </w:rPr>
        <w:t>12.3.3.1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150102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564E">
        <w:rPr>
          <w:rFonts w:ascii="Arial" w:hAnsi="Arial" w:cs="Arial"/>
          <w:b/>
          <w:bCs/>
          <w:sz w:val="24"/>
        </w:rPr>
        <w:t xml:space="preserve">Conditional Handover in </w:t>
      </w:r>
      <w:r w:rsidR="00FF4B72">
        <w:rPr>
          <w:rFonts w:ascii="Arial" w:hAnsi="Arial" w:cs="Arial"/>
          <w:b/>
          <w:bCs/>
          <w:sz w:val="24"/>
        </w:rPr>
        <w:t>E-UTRAN</w:t>
      </w:r>
      <w:r w:rsidR="009D564E">
        <w:rPr>
          <w:rFonts w:ascii="Arial" w:hAnsi="Arial" w:cs="Arial"/>
          <w:b/>
          <w:bCs/>
          <w:sz w:val="24"/>
        </w:rPr>
        <w:t xml:space="preserve"> – </w:t>
      </w:r>
      <w:r w:rsidR="00064B5E">
        <w:rPr>
          <w:rFonts w:ascii="Arial" w:hAnsi="Arial" w:cs="Arial"/>
          <w:b/>
          <w:bCs/>
          <w:sz w:val="24"/>
        </w:rPr>
        <w:t>other aspects</w:t>
      </w:r>
    </w:p>
    <w:p w14:paraId="1F147C23" w14:textId="774F92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27114" w:rsidRPr="00827114">
        <w:rPr>
          <w:rFonts w:ascii="Arial" w:hAnsi="Arial" w:cs="Arial"/>
          <w:b/>
          <w:bCs/>
          <w:sz w:val="24"/>
        </w:rPr>
        <w:t>LTE_feMob</w:t>
      </w:r>
      <w:proofErr w:type="spellEnd"/>
      <w:r w:rsidR="00827114" w:rsidRPr="00827114">
        <w:rPr>
          <w:rFonts w:ascii="Arial" w:hAnsi="Arial" w:cs="Arial"/>
          <w:b/>
          <w:bCs/>
          <w:sz w:val="24"/>
        </w:rPr>
        <w:t>-Core</w:t>
      </w:r>
      <w:r w:rsidR="00827114" w:rsidRPr="00827114" w:rsidDel="00827114">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00314244" w:rsidR="00A209D6" w:rsidRDefault="00EC2EAE" w:rsidP="00A209D6">
      <w:r>
        <w:t>The following agreements and FFSs regarding CHO in LTE have been listed [1]:</w:t>
      </w:r>
    </w:p>
    <w:tbl>
      <w:tblPr>
        <w:tblStyle w:val="TableGrid"/>
        <w:tblW w:w="0" w:type="auto"/>
        <w:tblLook w:val="04A0" w:firstRow="1" w:lastRow="0" w:firstColumn="1" w:lastColumn="0" w:noHBand="0" w:noVBand="1"/>
      </w:tblPr>
      <w:tblGrid>
        <w:gridCol w:w="9631"/>
      </w:tblGrid>
      <w:tr w:rsidR="003A1632" w14:paraId="7AF9E0C2" w14:textId="77777777" w:rsidTr="003A1632">
        <w:tc>
          <w:tcPr>
            <w:tcW w:w="9631" w:type="dxa"/>
          </w:tcPr>
          <w:p w14:paraId="7C47A909" w14:textId="77777777" w:rsidR="003A1632" w:rsidRPr="003A1632" w:rsidRDefault="003A1632" w:rsidP="003A1632">
            <w:pPr>
              <w:rPr>
                <w:lang w:val="en-US"/>
              </w:rPr>
            </w:pPr>
            <w:r w:rsidRPr="003A1632">
              <w:t xml:space="preserve">The CHO command contains at least the configuration information of target cell(s) and triggering conditions. </w:t>
            </w:r>
          </w:p>
          <w:p w14:paraId="642CB062" w14:textId="77777777" w:rsidR="003A1632" w:rsidRPr="003A1632" w:rsidRDefault="003A1632" w:rsidP="003A1632">
            <w:pPr>
              <w:rPr>
                <w:lang w:val="en-US"/>
              </w:rPr>
            </w:pPr>
            <w:r w:rsidRPr="003A1632">
              <w:t xml:space="preserve">=&gt; FFS who decides the triggering conditions (source, target or </w:t>
            </w:r>
            <w:proofErr w:type="spellStart"/>
            <w:r w:rsidRPr="003A1632">
              <w:t>source+target</w:t>
            </w:r>
            <w:proofErr w:type="spellEnd"/>
            <w:r w:rsidRPr="003A1632">
              <w:t>)</w:t>
            </w:r>
          </w:p>
          <w:p w14:paraId="21779205" w14:textId="77777777" w:rsidR="003A1632" w:rsidRPr="003A1632" w:rsidRDefault="003A1632" w:rsidP="003A1632">
            <w:pPr>
              <w:rPr>
                <w:lang w:val="en-US"/>
              </w:rPr>
            </w:pPr>
            <w:r w:rsidRPr="003A1632">
              <w:t>=&gt; FFS on transparent containers.</w:t>
            </w:r>
          </w:p>
          <w:p w14:paraId="03298B4F" w14:textId="77777777" w:rsidR="003A1632" w:rsidRPr="003A1632" w:rsidRDefault="003A1632" w:rsidP="003A1632">
            <w:pPr>
              <w:rPr>
                <w:lang w:val="en-US"/>
              </w:rPr>
            </w:pPr>
            <w:r w:rsidRPr="003A1632">
              <w:t>=&gt; FFS on the Stage-3 details</w:t>
            </w:r>
          </w:p>
          <w:p w14:paraId="330A5E71" w14:textId="77777777" w:rsidR="00F024EE" w:rsidRPr="00F024EE" w:rsidRDefault="00F024EE" w:rsidP="00F024EE">
            <w:pPr>
              <w:rPr>
                <w:lang w:val="en-US"/>
              </w:rPr>
            </w:pPr>
            <w:proofErr w:type="gramStart"/>
            <w:r w:rsidRPr="00F024EE">
              <w:t>1  Existing</w:t>
            </w:r>
            <w:proofErr w:type="gramEnd"/>
            <w:r w:rsidRPr="00F024EE">
              <w:t xml:space="preserve"> </w:t>
            </w:r>
            <w:proofErr w:type="spellStart"/>
            <w:r w:rsidRPr="00F024EE">
              <w:t>Ax</w:t>
            </w:r>
            <w:proofErr w:type="spellEnd"/>
            <w:r w:rsidRPr="00F024EE">
              <w:t xml:space="preserve"> measurement events can be used for executing CHO. FFS which </w:t>
            </w:r>
            <w:proofErr w:type="spellStart"/>
            <w:r w:rsidRPr="00F024EE">
              <w:t>Ax</w:t>
            </w:r>
            <w:proofErr w:type="spellEnd"/>
            <w:r w:rsidRPr="00F024EE">
              <w:t xml:space="preserve"> events can be used.</w:t>
            </w:r>
          </w:p>
          <w:p w14:paraId="2FD5E5C0" w14:textId="77777777" w:rsidR="00F024EE" w:rsidRPr="00F024EE" w:rsidRDefault="00F024EE" w:rsidP="00F024EE">
            <w:pPr>
              <w:rPr>
                <w:lang w:val="en-US"/>
              </w:rPr>
            </w:pPr>
            <w:proofErr w:type="gramStart"/>
            <w:r w:rsidRPr="00F024EE">
              <w:t>2  Conventional</w:t>
            </w:r>
            <w:proofErr w:type="gramEnd"/>
            <w:r w:rsidRPr="00F024EE">
              <w:t xml:space="preserve"> handover overrides any configured conditional handover command</w:t>
            </w:r>
          </w:p>
          <w:p w14:paraId="3BDBCDC8" w14:textId="77777777" w:rsidR="00F024EE" w:rsidRPr="00F024EE" w:rsidRDefault="00F024EE" w:rsidP="00F024EE">
            <w:pPr>
              <w:rPr>
                <w:lang w:val="en-US"/>
              </w:rPr>
            </w:pPr>
            <w:proofErr w:type="gramStart"/>
            <w:r w:rsidRPr="00F024EE">
              <w:t>3  The</w:t>
            </w:r>
            <w:proofErr w:type="gramEnd"/>
            <w:r w:rsidRPr="00F024EE">
              <w:t xml:space="preserve"> network can inform the UE to release CHO configurations (e.g. candidate cells) by RRC </w:t>
            </w:r>
            <w:proofErr w:type="spellStart"/>
            <w:r w:rsidRPr="00F024EE">
              <w:t>signaling</w:t>
            </w:r>
            <w:proofErr w:type="spellEnd"/>
            <w:r w:rsidRPr="00F024EE">
              <w:t>.</w:t>
            </w:r>
          </w:p>
          <w:p w14:paraId="7A723760" w14:textId="77777777" w:rsidR="00F024EE" w:rsidRPr="00F024EE" w:rsidRDefault="00F024EE" w:rsidP="00F024EE">
            <w:pPr>
              <w:rPr>
                <w:lang w:val="en-US"/>
              </w:rPr>
            </w:pPr>
            <w:r w:rsidRPr="00F024EE">
              <w:t xml:space="preserve">=&gt; FFS how “CHO </w:t>
            </w:r>
            <w:proofErr w:type="spellStart"/>
            <w:r w:rsidRPr="00F024EE">
              <w:t>cmd</w:t>
            </w:r>
            <w:proofErr w:type="spellEnd"/>
            <w:r w:rsidRPr="00F024EE">
              <w:t xml:space="preserve">” is formulated in Stage-3 signalling </w:t>
            </w:r>
          </w:p>
          <w:p w14:paraId="0AC34B93" w14:textId="77777777" w:rsidR="00F024EE" w:rsidRPr="00F024EE" w:rsidRDefault="00F024EE" w:rsidP="00F024EE">
            <w:pPr>
              <w:rPr>
                <w:lang w:val="en-US"/>
              </w:rPr>
            </w:pPr>
            <w:r w:rsidRPr="00F024EE">
              <w:t xml:space="preserve">=&gt; FFS whether UE continues to receive source cell while executing CHO cmd. </w:t>
            </w:r>
          </w:p>
          <w:p w14:paraId="0136F6E3" w14:textId="77777777" w:rsidR="00F024EE" w:rsidRPr="00F024EE" w:rsidRDefault="00F024EE" w:rsidP="00F024EE">
            <w:pPr>
              <w:rPr>
                <w:lang w:val="en-US"/>
              </w:rPr>
            </w:pPr>
            <w:r w:rsidRPr="00F024EE">
              <w:t xml:space="preserve">=&gt; FFS what UE does if it receives HO </w:t>
            </w:r>
            <w:proofErr w:type="spellStart"/>
            <w:r w:rsidRPr="00F024EE">
              <w:t>cmd</w:t>
            </w:r>
            <w:proofErr w:type="spellEnd"/>
            <w:r w:rsidRPr="00F024EE">
              <w:t xml:space="preserve"> while executing CHO cmd. </w:t>
            </w:r>
          </w:p>
          <w:p w14:paraId="34AA0396" w14:textId="77777777" w:rsidR="00F024EE" w:rsidRPr="00F024EE" w:rsidRDefault="00F024EE" w:rsidP="00F024EE">
            <w:pPr>
              <w:rPr>
                <w:lang w:val="en-US"/>
              </w:rPr>
            </w:pPr>
            <w:r w:rsidRPr="00F024EE">
              <w:t xml:space="preserve">=&gt; FFS what UE does if NW removes CHO </w:t>
            </w:r>
            <w:proofErr w:type="spellStart"/>
            <w:r w:rsidRPr="00F024EE">
              <w:t>cmd</w:t>
            </w:r>
            <w:proofErr w:type="spellEnd"/>
            <w:r w:rsidRPr="00F024EE">
              <w:t xml:space="preserve"> while executing the same CHO cmd. </w:t>
            </w:r>
          </w:p>
          <w:p w14:paraId="79584FE8" w14:textId="77777777" w:rsidR="00443146" w:rsidRPr="00F024EE" w:rsidRDefault="004D693F" w:rsidP="00F024EE">
            <w:pPr>
              <w:numPr>
                <w:ilvl w:val="0"/>
                <w:numId w:val="12"/>
              </w:numPr>
              <w:rPr>
                <w:lang w:val="en-US"/>
              </w:rPr>
            </w:pPr>
            <w:r w:rsidRPr="00F024EE">
              <w:t>FFS whether UE stores CHO commands in failure cases</w:t>
            </w:r>
          </w:p>
          <w:p w14:paraId="03700198" w14:textId="4D6EB998" w:rsidR="003A1632" w:rsidRPr="00EC2EAE" w:rsidRDefault="004D693F" w:rsidP="00AB5E31">
            <w:pPr>
              <w:numPr>
                <w:ilvl w:val="0"/>
                <w:numId w:val="12"/>
              </w:numPr>
              <w:rPr>
                <w:lang w:val="en-US"/>
              </w:rPr>
            </w:pPr>
            <w:r w:rsidRPr="00F024EE">
              <w:t>FFS whether CHO candidates can be released via other means.</w:t>
            </w:r>
          </w:p>
        </w:tc>
      </w:tr>
    </w:tbl>
    <w:p w14:paraId="7D27025C" w14:textId="6AE6E20B" w:rsidR="00EC2EAE" w:rsidRPr="006E13D1" w:rsidRDefault="000C703B" w:rsidP="00A209D6">
      <w:r>
        <w:br/>
      </w:r>
      <w:r w:rsidR="00EC2EAE">
        <w:t xml:space="preserve">This paper is aimed at </w:t>
      </w:r>
      <w:r>
        <w:t>progressing further important aspects for E-UTRAN’s</w:t>
      </w:r>
      <w:r w:rsidR="00EC2EAE">
        <w:t xml:space="preserve"> CHO</w:t>
      </w:r>
      <w:r>
        <w:t>.</w:t>
      </w:r>
    </w:p>
    <w:p w14:paraId="2CD17DDF" w14:textId="5DC526FC" w:rsidR="00A066AC" w:rsidRDefault="00064B5E" w:rsidP="00A066AC">
      <w:pPr>
        <w:pStyle w:val="Heading1"/>
      </w:pPr>
      <w:r>
        <w:t>2</w:t>
      </w:r>
      <w:r w:rsidR="00A066AC" w:rsidRPr="006E13D1">
        <w:tab/>
      </w:r>
      <w:r w:rsidR="00A066AC">
        <w:t xml:space="preserve">Discussion </w:t>
      </w:r>
    </w:p>
    <w:p w14:paraId="7BD69233" w14:textId="6F758B4E" w:rsidR="00A066AC" w:rsidRDefault="00064B5E" w:rsidP="00A066AC">
      <w:pPr>
        <w:pStyle w:val="Heading2"/>
      </w:pPr>
      <w:r>
        <w:t>2</w:t>
      </w:r>
      <w:r w:rsidR="00A066AC">
        <w:t>.1</w:t>
      </w:r>
      <w:r w:rsidR="00A066AC">
        <w:tab/>
        <w:t>Bye Messages</w:t>
      </w:r>
    </w:p>
    <w:p w14:paraId="71B3A596" w14:textId="7FFFF1A0" w:rsidR="00A066AC" w:rsidRDefault="00A066AC" w:rsidP="00A066AC">
      <w:pPr>
        <w:jc w:val="both"/>
      </w:pPr>
      <w:r>
        <w:t xml:space="preserve">It has been proposed that the UE sends a short “bye” message to the source cell, when the condition expires, right before the UE accesses the target cell. On one hand, this may significantly help the source cell, e.g. to start data forwarding at the right point in time, or to stop the transmission to the UE. On the other hand, such a “bye” message will have a significant probability of failed reception, since it is done when the UE is already safely inside the target cell; strictly spoken it violates the basic principle of CHO: to temporally separate the RRC procedures in the source cell (HO Command) and the procedures in the target cell (RACH). In other words, we cannot rely on receiving the “bye” message, we always </w:t>
      </w:r>
      <w:proofErr w:type="gramStart"/>
      <w:r>
        <w:t>have to</w:t>
      </w:r>
      <w:proofErr w:type="gramEnd"/>
      <w:r>
        <w:t xml:space="preserve"> consider that this may be rarely received. This fact makes the introduced simplification less valuable.</w:t>
      </w:r>
    </w:p>
    <w:p w14:paraId="13E45D76" w14:textId="0B6E0F8C" w:rsidR="00A066AC" w:rsidRDefault="00A066AC" w:rsidP="00A066AC">
      <w:pPr>
        <w:jc w:val="both"/>
        <w:rPr>
          <w:b/>
        </w:rPr>
      </w:pPr>
      <w:r>
        <w:rPr>
          <w:b/>
        </w:rPr>
        <w:t xml:space="preserve">Observation </w:t>
      </w:r>
      <w:r w:rsidR="000C703B">
        <w:rPr>
          <w:b/>
        </w:rPr>
        <w:t>1</w:t>
      </w:r>
      <w:r>
        <w:rPr>
          <w:b/>
        </w:rPr>
        <w:t>: A “bye” message can help the source cell to stop transmission and start packet forwarding exactly when needed.</w:t>
      </w:r>
    </w:p>
    <w:p w14:paraId="3AE235FC" w14:textId="18572A08" w:rsidR="00A066AC" w:rsidRDefault="00A066AC" w:rsidP="00A066AC">
      <w:pPr>
        <w:jc w:val="both"/>
        <w:rPr>
          <w:b/>
        </w:rPr>
      </w:pPr>
      <w:r>
        <w:rPr>
          <w:b/>
        </w:rPr>
        <w:lastRenderedPageBreak/>
        <w:t xml:space="preserve">Observation </w:t>
      </w:r>
      <w:r w:rsidR="000C703B">
        <w:rPr>
          <w:b/>
        </w:rPr>
        <w:t>2</w:t>
      </w:r>
      <w:r>
        <w:rPr>
          <w:b/>
        </w:rPr>
        <w:t xml:space="preserve">: A significant failure probability is inherent to “bye” message and thus the source cell cannot rely on receiving it. </w:t>
      </w:r>
    </w:p>
    <w:p w14:paraId="133DCE48" w14:textId="4AEC32B7" w:rsidR="00A066AC" w:rsidRPr="000C703B" w:rsidRDefault="00A066AC" w:rsidP="00A066AC">
      <w:pPr>
        <w:jc w:val="both"/>
        <w:rPr>
          <w:b/>
        </w:rPr>
      </w:pPr>
      <w:r w:rsidRPr="000C703B">
        <w:rPr>
          <w:b/>
        </w:rPr>
        <w:t xml:space="preserve">Proposal </w:t>
      </w:r>
      <w:r w:rsidR="000C703B" w:rsidRPr="000C703B">
        <w:rPr>
          <w:b/>
        </w:rPr>
        <w:t>1</w:t>
      </w:r>
      <w:r w:rsidRPr="000C703B">
        <w:rPr>
          <w:b/>
        </w:rPr>
        <w:t>: “bye” message is considered as a useful improvement, but not as a baseline CHO procedure.</w:t>
      </w:r>
      <w:r w:rsidR="00180250" w:rsidRPr="00AB5E31">
        <w:rPr>
          <w:b/>
        </w:rPr>
        <w:t xml:space="preserve"> </w:t>
      </w:r>
      <w:r w:rsidR="000C703B" w:rsidRPr="00AB5E31">
        <w:rPr>
          <w:b/>
        </w:rPr>
        <w:t>Thus, b</w:t>
      </w:r>
      <w:r w:rsidR="00180250" w:rsidRPr="00AB5E31">
        <w:rPr>
          <w:b/>
        </w:rPr>
        <w:t>ye message sent from the UE to the source cell when executing the CHO is not supported</w:t>
      </w:r>
      <w:r w:rsidR="000C703B" w:rsidRPr="00AB5E31">
        <w:rPr>
          <w:b/>
        </w:rPr>
        <w:t xml:space="preserve"> for Rel-16 CHO</w:t>
      </w:r>
      <w:r w:rsidR="000B505A" w:rsidRPr="00AB5E31">
        <w:rPr>
          <w:b/>
        </w:rPr>
        <w:t>.</w:t>
      </w:r>
    </w:p>
    <w:p w14:paraId="451F4971" w14:textId="626269CD" w:rsidR="00A066AC" w:rsidRPr="00A31E53" w:rsidRDefault="00064B5E" w:rsidP="00A066AC">
      <w:pPr>
        <w:pStyle w:val="Heading2"/>
      </w:pPr>
      <w:r>
        <w:t>2</w:t>
      </w:r>
      <w:r w:rsidR="00A066AC" w:rsidRPr="00A31E53">
        <w:t>.2</w:t>
      </w:r>
      <w:r w:rsidR="00A066AC" w:rsidRPr="00A31E53">
        <w:tab/>
        <w:t>Compatibility with close to 0ms interruption</w:t>
      </w:r>
    </w:p>
    <w:p w14:paraId="5C51511C" w14:textId="15BB0644" w:rsidR="00A066AC" w:rsidRDefault="00A066AC" w:rsidP="00A066AC">
      <w:pPr>
        <w:jc w:val="both"/>
      </w:pPr>
      <w:r>
        <w:t>The CHO itself will not improve the interruption time of a successful handover. In some cases, if not configured appropriately, it may even increase the interruption, e.g. if the execution threshold is done too late. Note that such a setting might still be good for robustness (it guarantees that the target is stable) but might be harmful for interruption.</w:t>
      </w:r>
    </w:p>
    <w:p w14:paraId="42EC090A" w14:textId="0C63C4CF" w:rsidR="000C703B" w:rsidRDefault="000C703B" w:rsidP="00A066AC">
      <w:pPr>
        <w:jc w:val="both"/>
      </w:pPr>
      <w:r>
        <w:rPr>
          <w:b/>
        </w:rPr>
        <w:t>Observation 3: If CHO execution condition is not set properly, CHO may even lead to interruption duration increase during HO.</w:t>
      </w:r>
    </w:p>
    <w:p w14:paraId="36A18FF1" w14:textId="76803BB5" w:rsidR="00A066AC" w:rsidRDefault="00A066AC" w:rsidP="00A066AC">
      <w:r>
        <w:t xml:space="preserve">Hence, if we want to have robustness and close to 0ms interruption at the same time, we </w:t>
      </w:r>
      <w:proofErr w:type="gramStart"/>
      <w:r>
        <w:t>have to</w:t>
      </w:r>
      <w:proofErr w:type="gramEnd"/>
      <w:r>
        <w:t xml:space="preserve"> consider the compatibility of both solutions. We discuss this topic in more detail in</w:t>
      </w:r>
      <w:r w:rsidR="000C703B">
        <w:t xml:space="preserve"> </w:t>
      </w:r>
      <w:r w:rsidR="00E93B28">
        <w:fldChar w:fldCharType="begin"/>
      </w:r>
      <w:r w:rsidR="00E93B28">
        <w:instrText xml:space="preserve"> REF _Ref7689459 \r \h </w:instrText>
      </w:r>
      <w:r w:rsidR="00E93B28">
        <w:fldChar w:fldCharType="separate"/>
      </w:r>
      <w:r w:rsidR="00E93B28">
        <w:t>[2]</w:t>
      </w:r>
      <w:r w:rsidR="00E93B28">
        <w:fldChar w:fldCharType="end"/>
      </w:r>
      <w:r w:rsidR="00E93B28">
        <w:t>.</w:t>
      </w:r>
    </w:p>
    <w:p w14:paraId="5A536719" w14:textId="3BA0EE81" w:rsidR="00431893" w:rsidRDefault="00064B5E" w:rsidP="00431893">
      <w:pPr>
        <w:pStyle w:val="Heading2"/>
      </w:pPr>
      <w:r>
        <w:t>2</w:t>
      </w:r>
      <w:r w:rsidR="00431893">
        <w:t>.</w:t>
      </w:r>
      <w:r>
        <w:t>3</w:t>
      </w:r>
      <w:r w:rsidR="00431893">
        <w:tab/>
        <w:t>Involvement of target cell</w:t>
      </w:r>
    </w:p>
    <w:p w14:paraId="4CA6FF33" w14:textId="1902D182" w:rsidR="00431893" w:rsidRDefault="00431893" w:rsidP="00431893">
      <w:pPr>
        <w:jc w:val="both"/>
      </w:pPr>
      <w:r>
        <w:t xml:space="preserve">The question is whether the target </w:t>
      </w:r>
      <w:proofErr w:type="gramStart"/>
      <w:r>
        <w:t>has to</w:t>
      </w:r>
      <w:proofErr w:type="gramEnd"/>
      <w:r>
        <w:t xml:space="preserve"> be aware about how exactly the condition is configured. While we do not see the need to have a detailed knowledge, the target obviously can benefit from getting some knowledge about how likely and how soon the UE is expected to access it. The latter could indeed be visible from the condition, </w:t>
      </w:r>
      <w:proofErr w:type="gramStart"/>
      <w:r>
        <w:t>in particular when</w:t>
      </w:r>
      <w:proofErr w:type="gramEnd"/>
      <w:r>
        <w:t xml:space="preserve"> comparing it with current measurements (forwarded in HO REQ). However, the source may also provide simpler indications to the target, potentially in the Handover Request message. Also, it could be helpful to know how many target candidates are already configured or will be configured at maximum.</w:t>
      </w:r>
    </w:p>
    <w:p w14:paraId="3D992E8E" w14:textId="33A15CE3" w:rsidR="00431893" w:rsidRDefault="00431893" w:rsidP="00431893">
      <w:pPr>
        <w:jc w:val="both"/>
      </w:pPr>
      <w:r>
        <w:t>Based on this information, the target can decide how strictly to reserve the resources for the UE. For instance, if only a single target will be configured, the preparation was not done extremely early, and the condition is not extremely late, the target has reserved resources almost as strictly as for the legacy handover. Otherwise, if multiple targets can be configured, the preparation is done extremely early, and the condition is late, then the target can use a more relaxed reservation and potentially apply overbooking, since this indicates larger likelihood that the UE will show up late or not at all.</w:t>
      </w:r>
    </w:p>
    <w:p w14:paraId="592D761F" w14:textId="6D62F91F" w:rsidR="00431893" w:rsidRDefault="00431893" w:rsidP="00431893">
      <w:pPr>
        <w:jc w:val="both"/>
        <w:rPr>
          <w:b/>
        </w:rPr>
      </w:pPr>
      <w:r>
        <w:rPr>
          <w:b/>
        </w:rPr>
        <w:t xml:space="preserve">Proposal </w:t>
      </w:r>
      <w:r w:rsidR="00E804F3">
        <w:rPr>
          <w:b/>
        </w:rPr>
        <w:t>2</w:t>
      </w:r>
      <w:r>
        <w:rPr>
          <w:b/>
        </w:rPr>
        <w:t xml:space="preserve">: </w:t>
      </w:r>
      <w:r w:rsidR="00713CB8">
        <w:rPr>
          <w:b/>
        </w:rPr>
        <w:t>Even if t</w:t>
      </w:r>
      <w:r>
        <w:rPr>
          <w:b/>
        </w:rPr>
        <w:t>he target</w:t>
      </w:r>
      <w:r w:rsidR="00713CB8">
        <w:rPr>
          <w:b/>
        </w:rPr>
        <w:t xml:space="preserve"> cell</w:t>
      </w:r>
      <w:r>
        <w:rPr>
          <w:b/>
        </w:rPr>
        <w:t xml:space="preserve"> does not need to know the exact</w:t>
      </w:r>
      <w:r w:rsidR="00713CB8">
        <w:rPr>
          <w:b/>
        </w:rPr>
        <w:t xml:space="preserve"> CHO</w:t>
      </w:r>
      <w:r>
        <w:rPr>
          <w:b/>
        </w:rPr>
        <w:t xml:space="preserve"> condition, </w:t>
      </w:r>
      <w:r w:rsidR="00713CB8">
        <w:rPr>
          <w:b/>
        </w:rPr>
        <w:t xml:space="preserve">RAN2 </w:t>
      </w:r>
      <w:r>
        <w:rPr>
          <w:b/>
        </w:rPr>
        <w:t xml:space="preserve">may </w:t>
      </w:r>
      <w:r w:rsidR="00713CB8">
        <w:rPr>
          <w:b/>
        </w:rPr>
        <w:t xml:space="preserve">consider </w:t>
      </w:r>
      <w:r>
        <w:rPr>
          <w:b/>
        </w:rPr>
        <w:t>benefit</w:t>
      </w:r>
      <w:r w:rsidR="00713CB8">
        <w:rPr>
          <w:b/>
        </w:rPr>
        <w:t>s</w:t>
      </w:r>
      <w:r>
        <w:rPr>
          <w:b/>
        </w:rPr>
        <w:t xml:space="preserve"> from </w:t>
      </w:r>
      <w:r w:rsidR="00713CB8">
        <w:rPr>
          <w:b/>
        </w:rPr>
        <w:t xml:space="preserve">the </w:t>
      </w:r>
      <w:r>
        <w:rPr>
          <w:b/>
        </w:rPr>
        <w:t xml:space="preserve">information </w:t>
      </w:r>
      <w:r w:rsidR="00713CB8">
        <w:rPr>
          <w:b/>
        </w:rPr>
        <w:t xml:space="preserve">available at the target node, </w:t>
      </w:r>
      <w:r>
        <w:rPr>
          <w:b/>
        </w:rPr>
        <w:t xml:space="preserve">providing guidance on how strict the resource reservation </w:t>
      </w:r>
      <w:proofErr w:type="gramStart"/>
      <w:r>
        <w:rPr>
          <w:b/>
        </w:rPr>
        <w:t>has to</w:t>
      </w:r>
      <w:proofErr w:type="gramEnd"/>
      <w:r>
        <w:rPr>
          <w:b/>
        </w:rPr>
        <w:t xml:space="preserve"> be.</w:t>
      </w:r>
      <w:r>
        <w:t xml:space="preserve"> </w:t>
      </w:r>
    </w:p>
    <w:p w14:paraId="464A6A71" w14:textId="46F56291" w:rsidR="00431893" w:rsidRDefault="00064B5E" w:rsidP="00431893">
      <w:pPr>
        <w:pStyle w:val="Heading2"/>
      </w:pPr>
      <w:r>
        <w:t>2</w:t>
      </w:r>
      <w:r w:rsidR="00431893">
        <w:t>.</w:t>
      </w:r>
      <w:r>
        <w:t>4</w:t>
      </w:r>
      <w:r w:rsidR="00431893">
        <w:tab/>
        <w:t>Conditions for multiple targets</w:t>
      </w:r>
    </w:p>
    <w:p w14:paraId="2FE2493F" w14:textId="5CFB4555" w:rsidR="00431893" w:rsidRDefault="00431893" w:rsidP="00431893">
      <w:pPr>
        <w:jc w:val="both"/>
      </w:pPr>
      <w:r>
        <w:t xml:space="preserve">If multiple target candidates can be configured, the question is whether the same condition shall apply for all target candidates, or whether it should be possible to configure different conditions. In principle, it should </w:t>
      </w:r>
      <w:proofErr w:type="gramStart"/>
      <w:r>
        <w:t>definitely be</w:t>
      </w:r>
      <w:proofErr w:type="gramEnd"/>
      <w:r>
        <w:t xml:space="preserve"> allowed to use different triggering points for different targets. However, it may not be needed to configure a full CHO condition along with every target preparation, conditions for different targets will have a lot of things in common. So, it might be </w:t>
      </w:r>
      <w:proofErr w:type="gramStart"/>
      <w:r>
        <w:t>sufficient</w:t>
      </w:r>
      <w:proofErr w:type="gramEnd"/>
      <w:r>
        <w:t xml:space="preserve"> to configure only a new offset for every target, e.g. the cell individual offset. And reuse the rest from already configured conditions.</w:t>
      </w:r>
    </w:p>
    <w:p w14:paraId="1720AFBC" w14:textId="4ED32825" w:rsidR="00431893" w:rsidRPr="00DA7580" w:rsidRDefault="00431893" w:rsidP="00431893">
      <w:pPr>
        <w:jc w:val="both"/>
        <w:rPr>
          <w:b/>
        </w:rPr>
      </w:pPr>
      <w:r>
        <w:rPr>
          <w:b/>
        </w:rPr>
        <w:t xml:space="preserve">Proposal </w:t>
      </w:r>
      <w:r w:rsidR="00403FF2">
        <w:rPr>
          <w:b/>
        </w:rPr>
        <w:t>3</w:t>
      </w:r>
      <w:r>
        <w:rPr>
          <w:b/>
        </w:rPr>
        <w:t>: Different conditions for different targets shall be possible, but simplifications shall be considered.</w:t>
      </w:r>
    </w:p>
    <w:p w14:paraId="35DA3BB4" w14:textId="15B7FA9F" w:rsidR="000B505A" w:rsidRDefault="000B505A" w:rsidP="000B505A">
      <w:pPr>
        <w:jc w:val="both"/>
        <w:rPr>
          <w:b/>
        </w:rPr>
      </w:pPr>
      <w:r>
        <w:rPr>
          <w:b/>
        </w:rPr>
        <w:t xml:space="preserve">Proposal </w:t>
      </w:r>
      <w:r w:rsidR="00403FF2">
        <w:rPr>
          <w:b/>
        </w:rPr>
        <w:t>4</w:t>
      </w:r>
      <w:r>
        <w:rPr>
          <w:b/>
        </w:rPr>
        <w:t>: Every CHO command shall come along and is identified via the accompanying condition, the conditions to different cells can implicitly be different.</w:t>
      </w:r>
    </w:p>
    <w:p w14:paraId="0DFA6EEE" w14:textId="2E8078DE" w:rsidR="00064B5E" w:rsidRDefault="00064B5E" w:rsidP="00064B5E">
      <w:pPr>
        <w:pStyle w:val="Heading1"/>
      </w:pPr>
      <w:r>
        <w:t>3</w:t>
      </w:r>
      <w:r>
        <w:tab/>
        <w:t>Conclusions</w:t>
      </w:r>
    </w:p>
    <w:p w14:paraId="11A9ABB3" w14:textId="08DAB005" w:rsidR="00064B5E" w:rsidRDefault="00064B5E" w:rsidP="00064B5E">
      <w:r>
        <w:t xml:space="preserve">This paper discussed </w:t>
      </w:r>
      <w:r w:rsidR="00403FF2">
        <w:t>further open points for E-UTRAN’s CHO</w:t>
      </w:r>
      <w:r>
        <w:t xml:space="preserve">. As a result, the following </w:t>
      </w:r>
      <w:r w:rsidR="006A543D">
        <w:t xml:space="preserve">observations and </w:t>
      </w:r>
      <w:r>
        <w:t>proposals have been made:</w:t>
      </w:r>
    </w:p>
    <w:p w14:paraId="768602EB" w14:textId="77777777" w:rsidR="002C1F5B" w:rsidRDefault="002C1F5B" w:rsidP="002C1F5B">
      <w:pPr>
        <w:jc w:val="both"/>
        <w:rPr>
          <w:b/>
        </w:rPr>
      </w:pPr>
      <w:r>
        <w:rPr>
          <w:b/>
        </w:rPr>
        <w:t>Observation 1: A “bye” message can help the source cell to stop transmission and start packet forwarding exactly when needed.</w:t>
      </w:r>
    </w:p>
    <w:p w14:paraId="0E2AFA0B" w14:textId="77777777" w:rsidR="002C1F5B" w:rsidRDefault="002C1F5B" w:rsidP="002C1F5B">
      <w:pPr>
        <w:jc w:val="both"/>
        <w:rPr>
          <w:b/>
        </w:rPr>
      </w:pPr>
      <w:r>
        <w:rPr>
          <w:b/>
        </w:rPr>
        <w:t xml:space="preserve">Observation 2: A significant failure probability is inherent to “bye” message and thus the source cell cannot rely on receiving it. </w:t>
      </w:r>
    </w:p>
    <w:p w14:paraId="157B513D" w14:textId="2974BD7C" w:rsidR="00064B5E" w:rsidRDefault="002C1F5B" w:rsidP="002C1F5B">
      <w:pPr>
        <w:rPr>
          <w:b/>
        </w:rPr>
      </w:pPr>
      <w:r w:rsidRPr="005627FE">
        <w:rPr>
          <w:b/>
        </w:rPr>
        <w:lastRenderedPageBreak/>
        <w:t>Proposal 1: “bye” message is considered as a useful improvement, but not as a baseline CHO procedure. Thus, bye message sent from the UE to the source cell when executing the CHO is not supported for Rel-16 CHO.</w:t>
      </w:r>
    </w:p>
    <w:p w14:paraId="5A1A4AF2" w14:textId="77777777" w:rsidR="002C1F5B" w:rsidRDefault="002C1F5B" w:rsidP="002C1F5B">
      <w:pPr>
        <w:jc w:val="both"/>
      </w:pPr>
      <w:r>
        <w:rPr>
          <w:b/>
        </w:rPr>
        <w:t>Observation 3: If CHO execution condition is not set properly, CHO may even lead to interruption duration increase during HO.</w:t>
      </w:r>
    </w:p>
    <w:p w14:paraId="7E95F664" w14:textId="28641E3E" w:rsidR="002C1F5B" w:rsidRDefault="002C1F5B" w:rsidP="002C1F5B">
      <w:pPr>
        <w:rPr>
          <w:b/>
        </w:rPr>
      </w:pPr>
      <w:r>
        <w:rPr>
          <w:b/>
        </w:rPr>
        <w:t xml:space="preserve">Proposal 2: Even if the target cell does not need to know the exact CHO condition, RAN2 may consider benefits from the information available at the target node, providing guidance on how strict the resource reservation </w:t>
      </w:r>
      <w:proofErr w:type="gramStart"/>
      <w:r>
        <w:rPr>
          <w:b/>
        </w:rPr>
        <w:t>has to</w:t>
      </w:r>
      <w:proofErr w:type="gramEnd"/>
      <w:r>
        <w:rPr>
          <w:b/>
        </w:rPr>
        <w:t xml:space="preserve"> be.</w:t>
      </w:r>
    </w:p>
    <w:p w14:paraId="3C5F590E" w14:textId="77777777" w:rsidR="002C1F5B" w:rsidRPr="00DA7580" w:rsidRDefault="002C1F5B" w:rsidP="002C1F5B">
      <w:pPr>
        <w:jc w:val="both"/>
        <w:rPr>
          <w:b/>
        </w:rPr>
      </w:pPr>
      <w:r>
        <w:rPr>
          <w:b/>
        </w:rPr>
        <w:t>Proposal 3: Different conditions for different targets shall be possible, but simplifications shall be considered.</w:t>
      </w:r>
    </w:p>
    <w:p w14:paraId="23E8FDDA" w14:textId="59B1C58E" w:rsidR="002C1F5B" w:rsidRPr="00AB5E31" w:rsidRDefault="002C1F5B">
      <w:pPr>
        <w:jc w:val="both"/>
        <w:rPr>
          <w:b/>
        </w:rPr>
      </w:pPr>
      <w:r>
        <w:rPr>
          <w:b/>
        </w:rPr>
        <w:t>Proposal 4: Every CHO command shall come along and is identified via the accompanying condition, the conditions to different cells can implicitly be different.</w:t>
      </w:r>
    </w:p>
    <w:p w14:paraId="71A14A6B" w14:textId="4171351A" w:rsidR="00EC2EAE" w:rsidRDefault="00EC2EAE" w:rsidP="00EC2EAE">
      <w:pPr>
        <w:pStyle w:val="Heading1"/>
      </w:pPr>
      <w:r>
        <w:t>References</w:t>
      </w:r>
    </w:p>
    <w:p w14:paraId="1F5EAB6D" w14:textId="1A9BFBAA" w:rsidR="00EC2EAE" w:rsidRDefault="009711E1" w:rsidP="009711E1">
      <w:pPr>
        <w:pStyle w:val="ListParagraph"/>
        <w:numPr>
          <w:ilvl w:val="0"/>
          <w:numId w:val="20"/>
        </w:numPr>
        <w:jc w:val="both"/>
        <w:rPr>
          <w:lang w:eastAsia="ko-KR"/>
        </w:rPr>
      </w:pPr>
      <w:r>
        <w:rPr>
          <w:lang w:eastAsia="ko-KR"/>
        </w:rPr>
        <w:t xml:space="preserve">R2-1905188 </w:t>
      </w:r>
      <w:r w:rsidRPr="00AB5E31">
        <w:rPr>
          <w:i/>
          <w:lang w:eastAsia="ko-KR"/>
        </w:rPr>
        <w:t>Report from session on Rel-16 LTE Mobility Enhancements WI</w:t>
      </w:r>
      <w:r>
        <w:rPr>
          <w:lang w:eastAsia="ko-KR"/>
        </w:rPr>
        <w:t xml:space="preserve"> 3GPP TSG-RAN WG2 Meeting #105bis Xian, China, 8th – 12th April 2019</w:t>
      </w:r>
    </w:p>
    <w:p w14:paraId="6D126D8A" w14:textId="4E165DCF" w:rsidR="000C703B" w:rsidRDefault="000C703B">
      <w:pPr>
        <w:pStyle w:val="ListParagraph"/>
        <w:numPr>
          <w:ilvl w:val="0"/>
          <w:numId w:val="20"/>
        </w:numPr>
        <w:jc w:val="both"/>
        <w:rPr>
          <w:lang w:eastAsia="ko-KR"/>
        </w:rPr>
      </w:pPr>
      <w:bookmarkStart w:id="1" w:name="_Ref7689459"/>
      <w:r>
        <w:rPr>
          <w:lang w:eastAsia="ko-KR"/>
        </w:rPr>
        <w:t>R2-190</w:t>
      </w:r>
      <w:r w:rsidR="00AB5E31">
        <w:rPr>
          <w:lang w:eastAsia="ko-KR"/>
        </w:rPr>
        <w:t>7278</w:t>
      </w:r>
      <w:r>
        <w:rPr>
          <w:lang w:eastAsia="ko-KR"/>
        </w:rPr>
        <w:t xml:space="preserve"> </w:t>
      </w:r>
      <w:r w:rsidRPr="00AB5E31">
        <w:rPr>
          <w:i/>
          <w:lang w:eastAsia="ko-KR"/>
        </w:rPr>
        <w:t>Mobility robustness for single active protocol stack solution</w:t>
      </w:r>
      <w:r>
        <w:rPr>
          <w:lang w:eastAsia="ko-KR"/>
        </w:rPr>
        <w:t xml:space="preserve"> 3GPP TSG-RAN WG2 Meeting #106 Reno, USA, 13 – 17 May 2019</w:t>
      </w:r>
      <w:bookmarkEnd w:id="1"/>
    </w:p>
    <w:p w14:paraId="0A24411E" w14:textId="77777777" w:rsidR="009711E1" w:rsidRPr="00AB5E31" w:rsidRDefault="009711E1" w:rsidP="00AB5E31">
      <w:pPr>
        <w:pStyle w:val="ListParagraph"/>
        <w:jc w:val="both"/>
        <w:rPr>
          <w:lang w:eastAsia="ko-KR"/>
        </w:rPr>
      </w:pPr>
    </w:p>
    <w:sectPr w:rsidR="009711E1" w:rsidRPr="00AB5E3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6556D" w14:textId="77777777" w:rsidR="00131D6B" w:rsidRDefault="00131D6B">
      <w:r>
        <w:separator/>
      </w:r>
    </w:p>
  </w:endnote>
  <w:endnote w:type="continuationSeparator" w:id="0">
    <w:p w14:paraId="3E4397FF" w14:textId="77777777" w:rsidR="00131D6B" w:rsidRDefault="0013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7C1F4" w14:textId="77777777" w:rsidR="00131D6B" w:rsidRDefault="00131D6B">
      <w:r>
        <w:separator/>
      </w:r>
    </w:p>
  </w:footnote>
  <w:footnote w:type="continuationSeparator" w:id="0">
    <w:p w14:paraId="5D7AE4D1" w14:textId="77777777" w:rsidR="00131D6B" w:rsidRDefault="00131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93A3E"/>
    <w:multiLevelType w:val="hybridMultilevel"/>
    <w:tmpl w:val="F868760C"/>
    <w:lvl w:ilvl="0" w:tplc="A4D86D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00798"/>
    <w:multiLevelType w:val="hybridMultilevel"/>
    <w:tmpl w:val="FBCC4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D6D46"/>
    <w:multiLevelType w:val="hybridMultilevel"/>
    <w:tmpl w:val="DBD296BE"/>
    <w:lvl w:ilvl="0" w:tplc="9CC8459E">
      <w:start w:val="1"/>
      <w:numFmt w:val="bullet"/>
      <w:lvlText w:val=""/>
      <w:lvlJc w:val="left"/>
      <w:pPr>
        <w:tabs>
          <w:tab w:val="num" w:pos="720"/>
        </w:tabs>
        <w:ind w:left="720" w:hanging="360"/>
      </w:pPr>
      <w:rPr>
        <w:rFonts w:ascii="Symbol" w:hAnsi="Symbol" w:hint="default"/>
      </w:rPr>
    </w:lvl>
    <w:lvl w:ilvl="1" w:tplc="0A48CF0C" w:tentative="1">
      <w:start w:val="1"/>
      <w:numFmt w:val="bullet"/>
      <w:lvlText w:val=""/>
      <w:lvlJc w:val="left"/>
      <w:pPr>
        <w:tabs>
          <w:tab w:val="num" w:pos="1440"/>
        </w:tabs>
        <w:ind w:left="1440" w:hanging="360"/>
      </w:pPr>
      <w:rPr>
        <w:rFonts w:ascii="Symbol" w:hAnsi="Symbol" w:hint="default"/>
      </w:rPr>
    </w:lvl>
    <w:lvl w:ilvl="2" w:tplc="97AE55F6" w:tentative="1">
      <w:start w:val="1"/>
      <w:numFmt w:val="bullet"/>
      <w:lvlText w:val=""/>
      <w:lvlJc w:val="left"/>
      <w:pPr>
        <w:tabs>
          <w:tab w:val="num" w:pos="2160"/>
        </w:tabs>
        <w:ind w:left="2160" w:hanging="360"/>
      </w:pPr>
      <w:rPr>
        <w:rFonts w:ascii="Symbol" w:hAnsi="Symbol" w:hint="default"/>
      </w:rPr>
    </w:lvl>
    <w:lvl w:ilvl="3" w:tplc="3086EF74" w:tentative="1">
      <w:start w:val="1"/>
      <w:numFmt w:val="bullet"/>
      <w:lvlText w:val=""/>
      <w:lvlJc w:val="left"/>
      <w:pPr>
        <w:tabs>
          <w:tab w:val="num" w:pos="2880"/>
        </w:tabs>
        <w:ind w:left="2880" w:hanging="360"/>
      </w:pPr>
      <w:rPr>
        <w:rFonts w:ascii="Symbol" w:hAnsi="Symbol" w:hint="default"/>
      </w:rPr>
    </w:lvl>
    <w:lvl w:ilvl="4" w:tplc="B44425B0" w:tentative="1">
      <w:start w:val="1"/>
      <w:numFmt w:val="bullet"/>
      <w:lvlText w:val=""/>
      <w:lvlJc w:val="left"/>
      <w:pPr>
        <w:tabs>
          <w:tab w:val="num" w:pos="3600"/>
        </w:tabs>
        <w:ind w:left="3600" w:hanging="360"/>
      </w:pPr>
      <w:rPr>
        <w:rFonts w:ascii="Symbol" w:hAnsi="Symbol" w:hint="default"/>
      </w:rPr>
    </w:lvl>
    <w:lvl w:ilvl="5" w:tplc="3C026EE0" w:tentative="1">
      <w:start w:val="1"/>
      <w:numFmt w:val="bullet"/>
      <w:lvlText w:val=""/>
      <w:lvlJc w:val="left"/>
      <w:pPr>
        <w:tabs>
          <w:tab w:val="num" w:pos="4320"/>
        </w:tabs>
        <w:ind w:left="4320" w:hanging="360"/>
      </w:pPr>
      <w:rPr>
        <w:rFonts w:ascii="Symbol" w:hAnsi="Symbol" w:hint="default"/>
      </w:rPr>
    </w:lvl>
    <w:lvl w:ilvl="6" w:tplc="F8708A24" w:tentative="1">
      <w:start w:val="1"/>
      <w:numFmt w:val="bullet"/>
      <w:lvlText w:val=""/>
      <w:lvlJc w:val="left"/>
      <w:pPr>
        <w:tabs>
          <w:tab w:val="num" w:pos="5040"/>
        </w:tabs>
        <w:ind w:left="5040" w:hanging="360"/>
      </w:pPr>
      <w:rPr>
        <w:rFonts w:ascii="Symbol" w:hAnsi="Symbol" w:hint="default"/>
      </w:rPr>
    </w:lvl>
    <w:lvl w:ilvl="7" w:tplc="FB06DD1C" w:tentative="1">
      <w:start w:val="1"/>
      <w:numFmt w:val="bullet"/>
      <w:lvlText w:val=""/>
      <w:lvlJc w:val="left"/>
      <w:pPr>
        <w:tabs>
          <w:tab w:val="num" w:pos="5760"/>
        </w:tabs>
        <w:ind w:left="5760" w:hanging="360"/>
      </w:pPr>
      <w:rPr>
        <w:rFonts w:ascii="Symbol" w:hAnsi="Symbol" w:hint="default"/>
      </w:rPr>
    </w:lvl>
    <w:lvl w:ilvl="8" w:tplc="3F74D0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4B7129"/>
    <w:multiLevelType w:val="hybridMultilevel"/>
    <w:tmpl w:val="87289C20"/>
    <w:lvl w:ilvl="0" w:tplc="671054D2">
      <w:start w:val="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258E0317"/>
    <w:multiLevelType w:val="hybridMultilevel"/>
    <w:tmpl w:val="7DC8D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257167"/>
    <w:multiLevelType w:val="hybridMultilevel"/>
    <w:tmpl w:val="82D2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AD2FDB"/>
    <w:multiLevelType w:val="hybridMultilevel"/>
    <w:tmpl w:val="8A48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5C0018"/>
    <w:multiLevelType w:val="hybridMultilevel"/>
    <w:tmpl w:val="9FDA0C6A"/>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D3C1000"/>
    <w:multiLevelType w:val="hybridMultilevel"/>
    <w:tmpl w:val="4AFAC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E06013"/>
    <w:multiLevelType w:val="hybridMultilevel"/>
    <w:tmpl w:val="8A48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0E61EB"/>
    <w:multiLevelType w:val="hybridMultilevel"/>
    <w:tmpl w:val="D804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102714"/>
    <w:multiLevelType w:val="hybridMultilevel"/>
    <w:tmpl w:val="9AE83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5F17F4"/>
    <w:multiLevelType w:val="hybridMultilevel"/>
    <w:tmpl w:val="3C168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2"/>
  </w:num>
  <w:num w:numId="7">
    <w:abstractNumId w:val="13"/>
  </w:num>
  <w:num w:numId="8">
    <w:abstractNumId w:val="2"/>
  </w:num>
  <w:num w:numId="9">
    <w:abstractNumId w:val="3"/>
  </w:num>
  <w:num w:numId="10">
    <w:abstractNumId w:val="15"/>
  </w:num>
  <w:num w:numId="11">
    <w:abstractNumId w:val="10"/>
  </w:num>
  <w:num w:numId="12">
    <w:abstractNumId w:val="4"/>
  </w:num>
  <w:num w:numId="13">
    <w:abstractNumId w:val="18"/>
  </w:num>
  <w:num w:numId="14">
    <w:abstractNumId w:val="9"/>
  </w:num>
  <w:num w:numId="15">
    <w:abstractNumId w:val="17"/>
  </w:num>
  <w:num w:numId="16">
    <w:abstractNumId w:val="16"/>
  </w:num>
  <w:num w:numId="17">
    <w:abstractNumId w:val="14"/>
  </w:num>
  <w:num w:numId="18">
    <w:abstractNumId w:val="6"/>
  </w:num>
  <w:num w:numId="19">
    <w:abstractNumId w:val="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F9B"/>
    <w:rsid w:val="00032FE3"/>
    <w:rsid w:val="00033397"/>
    <w:rsid w:val="00040095"/>
    <w:rsid w:val="00046697"/>
    <w:rsid w:val="000549FF"/>
    <w:rsid w:val="00064B5E"/>
    <w:rsid w:val="00067103"/>
    <w:rsid w:val="00073C9C"/>
    <w:rsid w:val="00080512"/>
    <w:rsid w:val="00090468"/>
    <w:rsid w:val="00094568"/>
    <w:rsid w:val="000B505A"/>
    <w:rsid w:val="000B7BCF"/>
    <w:rsid w:val="000C522B"/>
    <w:rsid w:val="000C703B"/>
    <w:rsid w:val="000D58AB"/>
    <w:rsid w:val="00112F1A"/>
    <w:rsid w:val="0012690D"/>
    <w:rsid w:val="00131CDF"/>
    <w:rsid w:val="00131D6B"/>
    <w:rsid w:val="00137D82"/>
    <w:rsid w:val="00145075"/>
    <w:rsid w:val="00172F81"/>
    <w:rsid w:val="001741A0"/>
    <w:rsid w:val="00175FA0"/>
    <w:rsid w:val="00180250"/>
    <w:rsid w:val="00194CD0"/>
    <w:rsid w:val="001A02F2"/>
    <w:rsid w:val="001B175C"/>
    <w:rsid w:val="001B49C9"/>
    <w:rsid w:val="001C1C99"/>
    <w:rsid w:val="001C4F79"/>
    <w:rsid w:val="001C59D1"/>
    <w:rsid w:val="001E7306"/>
    <w:rsid w:val="001F10D4"/>
    <w:rsid w:val="001F168B"/>
    <w:rsid w:val="001F7831"/>
    <w:rsid w:val="00204045"/>
    <w:rsid w:val="0020712B"/>
    <w:rsid w:val="00207CA3"/>
    <w:rsid w:val="0022606D"/>
    <w:rsid w:val="00231728"/>
    <w:rsid w:val="00233D62"/>
    <w:rsid w:val="00253AF0"/>
    <w:rsid w:val="002610D8"/>
    <w:rsid w:val="002747EC"/>
    <w:rsid w:val="002855BF"/>
    <w:rsid w:val="00297797"/>
    <w:rsid w:val="002C1F5B"/>
    <w:rsid w:val="002D5702"/>
    <w:rsid w:val="002D6B03"/>
    <w:rsid w:val="002F0D22"/>
    <w:rsid w:val="003143D8"/>
    <w:rsid w:val="003172DC"/>
    <w:rsid w:val="00325AE3"/>
    <w:rsid w:val="00326069"/>
    <w:rsid w:val="00334D66"/>
    <w:rsid w:val="0035462D"/>
    <w:rsid w:val="00364B41"/>
    <w:rsid w:val="00371C3B"/>
    <w:rsid w:val="00383096"/>
    <w:rsid w:val="0038631B"/>
    <w:rsid w:val="003A0122"/>
    <w:rsid w:val="003A1632"/>
    <w:rsid w:val="003A41EF"/>
    <w:rsid w:val="003A700A"/>
    <w:rsid w:val="003B40AD"/>
    <w:rsid w:val="003C3B89"/>
    <w:rsid w:val="003C4E37"/>
    <w:rsid w:val="003E16BE"/>
    <w:rsid w:val="003F4E28"/>
    <w:rsid w:val="004006E8"/>
    <w:rsid w:val="00401855"/>
    <w:rsid w:val="00403FF2"/>
    <w:rsid w:val="0041610C"/>
    <w:rsid w:val="004208E9"/>
    <w:rsid w:val="00423E31"/>
    <w:rsid w:val="00431893"/>
    <w:rsid w:val="00440C23"/>
    <w:rsid w:val="00443146"/>
    <w:rsid w:val="004553B9"/>
    <w:rsid w:val="00465587"/>
    <w:rsid w:val="00472E93"/>
    <w:rsid w:val="00477455"/>
    <w:rsid w:val="004A1F7B"/>
    <w:rsid w:val="004C1AF0"/>
    <w:rsid w:val="004C44D2"/>
    <w:rsid w:val="004D1A23"/>
    <w:rsid w:val="004D3578"/>
    <w:rsid w:val="004D380D"/>
    <w:rsid w:val="004D693F"/>
    <w:rsid w:val="004E213A"/>
    <w:rsid w:val="004F48C5"/>
    <w:rsid w:val="00503171"/>
    <w:rsid w:val="00506C28"/>
    <w:rsid w:val="00507D0B"/>
    <w:rsid w:val="00513308"/>
    <w:rsid w:val="005145D5"/>
    <w:rsid w:val="00534DA0"/>
    <w:rsid w:val="00535523"/>
    <w:rsid w:val="00543E6C"/>
    <w:rsid w:val="00550185"/>
    <w:rsid w:val="00565087"/>
    <w:rsid w:val="0056573F"/>
    <w:rsid w:val="00576B71"/>
    <w:rsid w:val="005B2566"/>
    <w:rsid w:val="005C2A51"/>
    <w:rsid w:val="005C7A3C"/>
    <w:rsid w:val="005D1DD6"/>
    <w:rsid w:val="0060020E"/>
    <w:rsid w:val="00611566"/>
    <w:rsid w:val="00646D99"/>
    <w:rsid w:val="00647514"/>
    <w:rsid w:val="00656910"/>
    <w:rsid w:val="00681C1D"/>
    <w:rsid w:val="006A543D"/>
    <w:rsid w:val="006C66D8"/>
    <w:rsid w:val="006D0946"/>
    <w:rsid w:val="006D1E24"/>
    <w:rsid w:val="006D4FD8"/>
    <w:rsid w:val="006E1417"/>
    <w:rsid w:val="006F6A2C"/>
    <w:rsid w:val="00710201"/>
    <w:rsid w:val="00713CB8"/>
    <w:rsid w:val="0072073A"/>
    <w:rsid w:val="007258AF"/>
    <w:rsid w:val="007342B5"/>
    <w:rsid w:val="00734A5B"/>
    <w:rsid w:val="00744E76"/>
    <w:rsid w:val="00757D40"/>
    <w:rsid w:val="00781F0F"/>
    <w:rsid w:val="0078727C"/>
    <w:rsid w:val="0079049D"/>
    <w:rsid w:val="00793DC5"/>
    <w:rsid w:val="00794609"/>
    <w:rsid w:val="007B18D8"/>
    <w:rsid w:val="007C095F"/>
    <w:rsid w:val="007C2DD0"/>
    <w:rsid w:val="008028A4"/>
    <w:rsid w:val="00813245"/>
    <w:rsid w:val="00827114"/>
    <w:rsid w:val="00864E5A"/>
    <w:rsid w:val="008768CA"/>
    <w:rsid w:val="00877EF9"/>
    <w:rsid w:val="00880559"/>
    <w:rsid w:val="008841B7"/>
    <w:rsid w:val="008A35C7"/>
    <w:rsid w:val="008B5306"/>
    <w:rsid w:val="008D2E4D"/>
    <w:rsid w:val="008F396F"/>
    <w:rsid w:val="0090271F"/>
    <w:rsid w:val="00902DB9"/>
    <w:rsid w:val="0090466A"/>
    <w:rsid w:val="00920B80"/>
    <w:rsid w:val="00936071"/>
    <w:rsid w:val="00940212"/>
    <w:rsid w:val="00942EC2"/>
    <w:rsid w:val="00961B32"/>
    <w:rsid w:val="00962509"/>
    <w:rsid w:val="00970DB3"/>
    <w:rsid w:val="009711E1"/>
    <w:rsid w:val="00974BB0"/>
    <w:rsid w:val="009A0AF3"/>
    <w:rsid w:val="009B07CD"/>
    <w:rsid w:val="009C19E9"/>
    <w:rsid w:val="009D0E80"/>
    <w:rsid w:val="009D1B99"/>
    <w:rsid w:val="009D564E"/>
    <w:rsid w:val="009D74A6"/>
    <w:rsid w:val="00A066AC"/>
    <w:rsid w:val="00A10F02"/>
    <w:rsid w:val="00A126C6"/>
    <w:rsid w:val="00A204CA"/>
    <w:rsid w:val="00A209D6"/>
    <w:rsid w:val="00A44CE3"/>
    <w:rsid w:val="00A47B17"/>
    <w:rsid w:val="00A53724"/>
    <w:rsid w:val="00A54B2B"/>
    <w:rsid w:val="00A82346"/>
    <w:rsid w:val="00A9671C"/>
    <w:rsid w:val="00AA1553"/>
    <w:rsid w:val="00AB54D8"/>
    <w:rsid w:val="00AB5E31"/>
    <w:rsid w:val="00B05380"/>
    <w:rsid w:val="00B05962"/>
    <w:rsid w:val="00B15449"/>
    <w:rsid w:val="00B16C2F"/>
    <w:rsid w:val="00B27303"/>
    <w:rsid w:val="00B47FD1"/>
    <w:rsid w:val="00B516BB"/>
    <w:rsid w:val="00B84DB2"/>
    <w:rsid w:val="00BB589C"/>
    <w:rsid w:val="00BC03D1"/>
    <w:rsid w:val="00BC3555"/>
    <w:rsid w:val="00BE0782"/>
    <w:rsid w:val="00BE2806"/>
    <w:rsid w:val="00BE6423"/>
    <w:rsid w:val="00C12B51"/>
    <w:rsid w:val="00C24650"/>
    <w:rsid w:val="00C25465"/>
    <w:rsid w:val="00C33079"/>
    <w:rsid w:val="00C35BB3"/>
    <w:rsid w:val="00C45F93"/>
    <w:rsid w:val="00C83A13"/>
    <w:rsid w:val="00C9068C"/>
    <w:rsid w:val="00C92967"/>
    <w:rsid w:val="00CA3D0C"/>
    <w:rsid w:val="00CA654B"/>
    <w:rsid w:val="00CB72B8"/>
    <w:rsid w:val="00CD4C7B"/>
    <w:rsid w:val="00CE2E1B"/>
    <w:rsid w:val="00CF38D6"/>
    <w:rsid w:val="00CF4B64"/>
    <w:rsid w:val="00D00318"/>
    <w:rsid w:val="00D33BE3"/>
    <w:rsid w:val="00D34039"/>
    <w:rsid w:val="00D3792D"/>
    <w:rsid w:val="00D55E47"/>
    <w:rsid w:val="00D62E19"/>
    <w:rsid w:val="00D64BBF"/>
    <w:rsid w:val="00D67CD1"/>
    <w:rsid w:val="00D738D6"/>
    <w:rsid w:val="00D80795"/>
    <w:rsid w:val="00D854BE"/>
    <w:rsid w:val="00D87E00"/>
    <w:rsid w:val="00D9134D"/>
    <w:rsid w:val="00D96D11"/>
    <w:rsid w:val="00D976A0"/>
    <w:rsid w:val="00DA7A03"/>
    <w:rsid w:val="00DB0DB8"/>
    <w:rsid w:val="00DB1818"/>
    <w:rsid w:val="00DC309B"/>
    <w:rsid w:val="00DC4DA2"/>
    <w:rsid w:val="00E11B5A"/>
    <w:rsid w:val="00E1349A"/>
    <w:rsid w:val="00E30765"/>
    <w:rsid w:val="00E46A1B"/>
    <w:rsid w:val="00E46C08"/>
    <w:rsid w:val="00E471CF"/>
    <w:rsid w:val="00E625A6"/>
    <w:rsid w:val="00E62835"/>
    <w:rsid w:val="00E73D71"/>
    <w:rsid w:val="00E77645"/>
    <w:rsid w:val="00E804F3"/>
    <w:rsid w:val="00E83697"/>
    <w:rsid w:val="00E93B28"/>
    <w:rsid w:val="00E94F12"/>
    <w:rsid w:val="00EA66C9"/>
    <w:rsid w:val="00EC2EAE"/>
    <w:rsid w:val="00EC4A25"/>
    <w:rsid w:val="00ED3A28"/>
    <w:rsid w:val="00F024EE"/>
    <w:rsid w:val="00F025A2"/>
    <w:rsid w:val="00F07388"/>
    <w:rsid w:val="00F2026E"/>
    <w:rsid w:val="00F2210A"/>
    <w:rsid w:val="00F37743"/>
    <w:rsid w:val="00F54A3D"/>
    <w:rsid w:val="00F54CB0"/>
    <w:rsid w:val="00F653B8"/>
    <w:rsid w:val="00F71B89"/>
    <w:rsid w:val="00F7353C"/>
    <w:rsid w:val="00F76F8F"/>
    <w:rsid w:val="00F941DF"/>
    <w:rsid w:val="00FA1266"/>
    <w:rsid w:val="00FA21BB"/>
    <w:rsid w:val="00FA5F83"/>
    <w:rsid w:val="00FB36FA"/>
    <w:rsid w:val="00FC1192"/>
    <w:rsid w:val="00FE251B"/>
    <w:rsid w:val="00FE4614"/>
    <w:rsid w:val="00FF4B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3A1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632"/>
    <w:pPr>
      <w:ind w:left="720"/>
      <w:contextualSpacing/>
    </w:pPr>
  </w:style>
  <w:style w:type="character" w:customStyle="1" w:styleId="Heading2Char">
    <w:name w:val="Heading 2 Char"/>
    <w:basedOn w:val="DefaultParagraphFont"/>
    <w:link w:val="Heading2"/>
    <w:rsid w:val="003A1632"/>
    <w:rPr>
      <w:rFonts w:ascii="Arial" w:hAnsi="Arial"/>
      <w:sz w:val="32"/>
      <w:lang w:eastAsia="en-US"/>
    </w:rPr>
  </w:style>
  <w:style w:type="character" w:styleId="CommentReference">
    <w:name w:val="annotation reference"/>
    <w:basedOn w:val="DefaultParagraphFont"/>
    <w:rsid w:val="002D5702"/>
    <w:rPr>
      <w:sz w:val="16"/>
      <w:szCs w:val="16"/>
    </w:rPr>
  </w:style>
  <w:style w:type="paragraph" w:styleId="CommentText">
    <w:name w:val="annotation text"/>
    <w:basedOn w:val="Normal"/>
    <w:link w:val="CommentTextChar"/>
    <w:rsid w:val="002D5702"/>
  </w:style>
  <w:style w:type="character" w:customStyle="1" w:styleId="CommentTextChar">
    <w:name w:val="Comment Text Char"/>
    <w:basedOn w:val="DefaultParagraphFont"/>
    <w:link w:val="CommentText"/>
    <w:rsid w:val="002D5702"/>
    <w:rPr>
      <w:lang w:eastAsia="en-US"/>
    </w:rPr>
  </w:style>
  <w:style w:type="paragraph" w:styleId="CommentSubject">
    <w:name w:val="annotation subject"/>
    <w:basedOn w:val="CommentText"/>
    <w:next w:val="CommentText"/>
    <w:link w:val="CommentSubjectChar"/>
    <w:rsid w:val="002D5702"/>
    <w:rPr>
      <w:b/>
      <w:bCs/>
    </w:rPr>
  </w:style>
  <w:style w:type="character" w:customStyle="1" w:styleId="CommentSubjectChar">
    <w:name w:val="Comment Subject Char"/>
    <w:basedOn w:val="CommentTextChar"/>
    <w:link w:val="CommentSubject"/>
    <w:rsid w:val="002D5702"/>
    <w:rPr>
      <w:b/>
      <w:bCs/>
      <w:lang w:eastAsia="en-US"/>
    </w:rPr>
  </w:style>
  <w:style w:type="character" w:customStyle="1" w:styleId="Heading1Char">
    <w:name w:val="Heading 1 Char"/>
    <w:basedOn w:val="DefaultParagraphFont"/>
    <w:link w:val="Heading1"/>
    <w:rsid w:val="00137D8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798435">
      <w:bodyDiv w:val="1"/>
      <w:marLeft w:val="0"/>
      <w:marRight w:val="0"/>
      <w:marTop w:val="0"/>
      <w:marBottom w:val="0"/>
      <w:divBdr>
        <w:top w:val="none" w:sz="0" w:space="0" w:color="auto"/>
        <w:left w:val="none" w:sz="0" w:space="0" w:color="auto"/>
        <w:bottom w:val="none" w:sz="0" w:space="0" w:color="auto"/>
        <w:right w:val="none" w:sz="0" w:space="0" w:color="auto"/>
      </w:divBdr>
    </w:div>
    <w:div w:id="540214286">
      <w:bodyDiv w:val="1"/>
      <w:marLeft w:val="0"/>
      <w:marRight w:val="0"/>
      <w:marTop w:val="0"/>
      <w:marBottom w:val="0"/>
      <w:divBdr>
        <w:top w:val="none" w:sz="0" w:space="0" w:color="auto"/>
        <w:left w:val="none" w:sz="0" w:space="0" w:color="auto"/>
        <w:bottom w:val="none" w:sz="0" w:space="0" w:color="auto"/>
        <w:right w:val="none" w:sz="0" w:space="0" w:color="auto"/>
      </w:divBdr>
      <w:divsChild>
        <w:div w:id="1520654670">
          <w:marLeft w:val="274"/>
          <w:marRight w:val="0"/>
          <w:marTop w:val="0"/>
          <w:marBottom w:val="0"/>
          <w:divBdr>
            <w:top w:val="none" w:sz="0" w:space="0" w:color="auto"/>
            <w:left w:val="none" w:sz="0" w:space="0" w:color="auto"/>
            <w:bottom w:val="none" w:sz="0" w:space="0" w:color="auto"/>
            <w:right w:val="none" w:sz="0" w:space="0" w:color="auto"/>
          </w:divBdr>
        </w:div>
        <w:div w:id="1808667270">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5AIRPNAIUNRU-859666464-5152</_dlc_DocId>
    <_dlc_DocIdUrl xmlns="71c5aaf6-e6ce-465b-b873-5148d2a4c105">
      <Url>https://nokia.sharepoint.com/sites/c5g/e2earch/_layouts/15/DocIdRedir.aspx?ID=5AIRPNAIUNRU-859666464-5152</Url>
      <Description>5AIRPNAIUNRU-859666464-5152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schemas.openxmlformats.org/package/2006/metadata/core-properties"/>
    <ds:schemaRef ds:uri="a3840f4f-04be-43d1-b2ef-6ff1382503c7"/>
    <ds:schemaRef ds:uri="http://purl.org/dc/elements/1.1/"/>
    <ds:schemaRef ds:uri="http://schemas.microsoft.com/office/infopath/2007/PartnerControls"/>
    <ds:schemaRef ds:uri="83f22d2f-d16e-4be6-ad4f-29fa0b067c3c"/>
    <ds:schemaRef ds:uri="3b34c8f0-1ef5-4d1e-bb66-517ce7fe7356"/>
    <ds:schemaRef ds:uri="http://schemas.microsoft.com/office/2006/metadata/properties"/>
    <ds:schemaRef ds:uri="http://purl.org/dc/term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105</TotalTime>
  <Pages>3</Pages>
  <Words>1212</Words>
  <Characters>6245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Stanczak, Jedrzej (Nokia - PL/Wroclaw)</dc:creator>
  <cp:lastModifiedBy>Nokia</cp:lastModifiedBy>
  <cp:revision>32</cp:revision>
  <dcterms:created xsi:type="dcterms:W3CDTF">2019-05-02T06:38:00Z</dcterms:created>
  <dcterms:modified xsi:type="dcterms:W3CDTF">2019-05-02T21:24:00Z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3dc0dcf2-1ea1-41e5-bae9-1f95b736bdc2</vt:lpwstr>
  </property>
</Properties>
</file>